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100X100 SUBTITULO"/>
        <w:jc w:val="both"/>
      </w:pPr>
    </w:p>
    <w:p>
      <w:pPr>
        <w:pStyle w:val="Cuerpo"/>
        <w:tabs>
          <w:tab w:val="left" w:pos="1102"/>
        </w:tabs>
        <w:spacing w:after="0" w:line="20" w:lineRule="atLeast"/>
        <w:jc w:val="left"/>
        <w:outlineLvl w:val="0"/>
        <w:rPr>
          <w:rStyle w:val="Ninguno"/>
          <w:rFonts w:ascii="Times New Roman" w:hAnsi="Times New Roman"/>
          <w:outline w:val="0"/>
          <w:color w:val="000000"/>
          <w:sz w:val="23"/>
          <w:szCs w:val="23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76" w:lineRule="auto"/>
        <w:outlineLvl w:val="0"/>
        <w:rPr>
          <w:rStyle w:val="Ninguno"/>
          <w:rFonts w:ascii="Times New Roman" w:hAnsi="Times New Roman"/>
          <w:outline w:val="0"/>
          <w:color w:val="000000"/>
          <w:sz w:val="23"/>
          <w:szCs w:val="23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0" w:lineRule="atLeast"/>
        <w:ind w:left="2" w:hanging="2"/>
        <w:jc w:val="right"/>
        <w:outlineLvl w:val="0"/>
        <w:rPr>
          <w:rStyle w:val="Ninguno"/>
          <w:rFonts w:ascii="Times New Roman" w:cs="Times New Roman" w:hAnsi="Times New Roman" w:eastAsia="Times New Roman"/>
          <w:outline w:val="0"/>
          <w:color w:val="943634"/>
          <w:sz w:val="24"/>
          <w:szCs w:val="24"/>
          <w:u w:color="943634"/>
          <w14:textFill>
            <w14:solidFill>
              <w14:srgbClr w14:val="943634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943634"/>
          <w:sz w:val="36"/>
          <w:szCs w:val="36"/>
          <w:u w:color="943634"/>
          <w:rtl w:val="0"/>
          <w:lang w:val="es-ES_tradnl"/>
          <w14:textFill>
            <w14:solidFill>
              <w14:srgbClr w14:val="943634"/>
            </w14:solidFill>
          </w14:textFill>
        </w:rPr>
        <w:t>GRUPO MUNICIPAL</w:t>
      </w:r>
    </w:p>
    <w:p>
      <w:pPr>
        <w:pStyle w:val="Cuerpo"/>
        <w:tabs>
          <w:tab w:val="center" w:pos="4252"/>
          <w:tab w:val="right" w:pos="8478"/>
        </w:tabs>
        <w:spacing w:after="0" w:line="276" w:lineRule="auto"/>
        <w:ind w:left="2" w:hanging="2"/>
        <w:jc w:val="right"/>
        <w:outlineLvl w:val="0"/>
        <w:rPr>
          <w:rStyle w:val="Ninguno"/>
          <w:rFonts w:ascii="Times New Roman" w:cs="Times New Roman" w:hAnsi="Times New Roman" w:eastAsia="Times New Roman"/>
          <w:outline w:val="0"/>
          <w:color w:val="943634"/>
          <w:sz w:val="24"/>
          <w:szCs w:val="24"/>
          <w:u w:color="943634"/>
          <w14:textFill>
            <w14:solidFill>
              <w14:srgbClr w14:val="943634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943634"/>
          <w:sz w:val="36"/>
          <w:szCs w:val="36"/>
          <w:u w:color="943634"/>
          <w:rtl w:val="0"/>
          <w:lang w:val="es-ES_tradnl"/>
          <w14:textFill>
            <w14:solidFill>
              <w14:srgbClr w14:val="943634"/>
            </w14:solidFill>
          </w14:textFill>
        </w:rPr>
        <w:t xml:space="preserve"> LOS BARRIOS 100x100</w:t>
      </w:r>
    </w:p>
    <w:p>
      <w:pPr>
        <w:pStyle w:val="Cuerpo"/>
        <w:spacing w:after="0" w:line="276" w:lineRule="auto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76" w:lineRule="auto"/>
        <w:outlineLvl w:val="0"/>
        <w:rPr>
          <w:rStyle w:val="Ninguno"/>
          <w:rFonts w:ascii="Andalus" w:cs="Andalus" w:hAnsi="Andalus" w:eastAsia="Andalus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Sara Lobato Herrera, Concejal-Portavoz del Grupo Municipal Los Barrios 100x100 en el Ayuntamiento de Los Barrios, cuyos datos y antecedentes obran en poder de la Secretar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General, al amparo de  lo  previsto  en el  articulo 97 del RD2568/1.986, por el que se aprueba  el  Reglamento  de  Organizaci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Funcionamiento y  R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gimen  Jur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dico de las Entidades  Locales,  SOLICITA que se incluya en el orden del d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la pr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xima sesi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que se celebre en el Pleno de esta Corporaci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para su debate y votaci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la siguiente motivaci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n: </w:t>
      </w:r>
    </w:p>
    <w:p>
      <w:pPr>
        <w:pStyle w:val="Cuerpo"/>
        <w:spacing w:after="0" w:line="276" w:lineRule="auto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76" w:lineRule="auto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76" w:lineRule="auto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76" w:lineRule="auto"/>
        <w:jc w:val="center"/>
        <w:outlineLvl w:val="0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oci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bookmarkStart w:name="_DdeLink__3509_973377409" w:id="0"/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nstar a la Junta de Andaluc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a cumplir con lo establecido en el Acuerdo de 5 de Julio de 2016, para la retirada progresiva del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mianto en las infraestructuras p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blicas educativas</w:t>
      </w:r>
      <w:bookmarkEnd w:id="0"/>
    </w:p>
    <w:p>
      <w:pPr>
        <w:pStyle w:val="Cuerpo"/>
        <w:spacing w:after="0" w:line="276" w:lineRule="auto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Text"/>
        <w:spacing w:after="0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Cuerpo"/>
        <w:spacing w:after="0" w:line="276" w:lineRule="auto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EXPOSICI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MOTIVOS:</w:t>
      </w:r>
    </w:p>
    <w:p>
      <w:pPr>
        <w:pStyle w:val="Cuerpo"/>
        <w:spacing w:after="0" w:line="276" w:lineRule="auto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/>
        <w:outlineLvl w:val="0"/>
        <w:rPr>
          <w:rStyle w:val="Ninguno"/>
          <w:rFonts w:ascii="Andalus" w:cs="Andalus" w:hAnsi="Andalus" w:eastAsia="Andalu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  <w:tab/>
      </w:r>
    </w:p>
    <w:p>
      <w:pPr>
        <w:pStyle w:val="Cuerpo"/>
        <w:spacing w:after="120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El grupo municipal de Los Barrios 100x100 considera presentar al Pleno del Ayuntamiento de Los Barrios una moci</w:t>
      </w:r>
      <w:r>
        <w:rPr>
          <w:rStyle w:val="Ninguno"/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instar a la Junta de Andaluc</w:t>
      </w:r>
      <w:r>
        <w:rPr>
          <w:rStyle w:val="Ninguno"/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al cumplimento del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ACUERDO de 5 de julio de 2016, del consejo de Gobierno, por el que se aprob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la planificaci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retirada progresiva del amianto en las infraestructuras p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blicas educativas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y cuyo per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odo de vigencia concluye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31 de diciembre de 2022.</w:t>
      </w:r>
    </w:p>
    <w:p>
      <w:pPr>
        <w:pStyle w:val="Cuerpo"/>
        <w:spacing w:after="120"/>
        <w:outlineLvl w:val="0"/>
        <w:rPr>
          <w:rStyle w:val="Ninguno"/>
          <w:rFonts w:ascii="Carlito" w:cs="Carlito" w:hAnsi="Carlito" w:eastAsia="Carlito"/>
          <w:b w:val="1"/>
          <w:bCs w:val="1"/>
          <w:lang w:val="es-ES_tradnl"/>
        </w:rPr>
      </w:pPr>
    </w:p>
    <w:p>
      <w:pPr>
        <w:pStyle w:val="Cuerpo"/>
        <w:spacing w:after="120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A</w:t>
      </w:r>
      <w:r>
        <w:rPr>
          <w:rStyle w:val="Ninguno"/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existen 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numerosos 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centros educativos 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en el Campo de Gibraltar que sufren los efectos del amianto, material que se encuentra en los pilares de sus estructuras. Uno de ellos es el colegio 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San Isidro Labrador, 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que tiene registrado este material en los pilares del porche del colegio. 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Cabe recordar que el 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mianto es un material cancer</w:t>
      </w:r>
      <w:r>
        <w:rPr>
          <w:rStyle w:val="Ninguno"/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geno, recogido como tal por el propio Parlamento Europeo. </w:t>
      </w:r>
    </w:p>
    <w:p>
      <w:pPr>
        <w:pStyle w:val="Cuerpo"/>
        <w:spacing w:after="120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Tras la aprobaci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su retirada en 2016, la Consejer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Educaci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comunic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al centro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 esta se llevar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a cabo en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el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verano de 2021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. Toda vez que la retirada no se produjo,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la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elegaci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territorial de Educaci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inform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un nuevo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retraso al verano de 2022. Sin embargo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 d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hoy sigue sin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haberse ejecutado la obra. </w:t>
      </w:r>
    </w:p>
    <w:p>
      <w:pPr>
        <w:pStyle w:val="Cuerpo"/>
        <w:spacing w:after="120"/>
        <w:jc w:val="right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Times New Roman" w:hAnsi="Times New Roman" w:hint="default"/>
          <w:b w:val="1"/>
          <w:bCs w:val="1"/>
          <w:caps w:val="0"/>
          <w:smallCaps w:val="0"/>
          <w:outline w:val="0"/>
          <w:color w:val="000000"/>
          <w:spacing w:val="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gina 1/3</w:t>
      </w:r>
    </w:p>
    <w:p>
      <w:pPr>
        <w:pStyle w:val="Body Text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Este caso ha sido tratado en el 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ltimo Consejo Escolar Municipal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en el que los representantes educativos pidieron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al Ayuntamiento que, aunque no fuera de su competencia, solicit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ara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a la Consejer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Educaci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que act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uase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cuanto antes.</w:t>
      </w:r>
    </w:p>
    <w:p>
      <w:pPr>
        <w:pStyle w:val="Body Text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ab/>
        <w:t>Corresponde a la Comunidad Aut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noma, en virtud de lo establecido en el art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 56.1.a) del Estatuto de Autonom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para Andaluc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a, la competencia exclusiva en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ejecuci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las normas 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cnicas, la inspecci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el control sobre la calidad de la construcci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ab/>
        <w:t>Por otra parte, la Comunidad Aut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noma tiene, conforme al art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 55.2 del citado Estatuto, la competencia compartida en cuanto a la ordenaci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ejecuci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las medidas destinadas a preservar, proteger y promover la salud p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blica en todos los 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mbitos. En este sentido, el art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 78 de la Ley 16/2011, de 23 de diciembre, de Salud P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 de Andaluc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a, establece que las Administraciones P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blicas Andaluzas, en el marco de sus respectivas competencias, podr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intervenir en favor de la salud p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blica, realizando cualquier intervenci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conducente a establecer normativamente los requisitos y condiciones que, desde el punto de vista sanitario, han de reunir todos los centros, actividades y bienes que puedan suponer un riesgo para la salud, as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vigilar, controlar e inspeccionar, de la forma establecida en las correspondientes normas, su cumplimiento.</w:t>
      </w: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La Conferencia Europea sobre el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mianto, celebrada en Dresde en 2003, dio lugar a una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eclaraci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encaminada a reducir los riesgos derivados del trabajo con amianto, instando a la Organizaci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Internacional del Trabajo, entre otras cuestiones, a ayudar a los Estados miembros a elaborar planes de acci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nacionales para la gesti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el control y la eliminaci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definitiva del amianto del entorno laboral y social.</w:t>
      </w: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ab/>
        <w:t>Por su parte, la Resoluci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Parlamento Europeo, de 14 de marzo de 2013, sobre los riesgos para la salud en el lugar de trabajo relacionados con el amianto y perspectivas de eliminaci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todo el amianto existente, insta a la UE a que realice una evaluaci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impacto y un an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lisis de costes y beneficios de la posibilidad de crear planes de acci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la eliminaci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segura del amianto de los edificios p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blicos.</w:t>
      </w: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ab/>
        <w:t>No existiendo en la actualidad legislaci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o planificaci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nacional, ni internacional que obligue a la retirada inmediata de este elemento de las construcciones educativas, pero coincidentes en el objetivo europeo de su desaparici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el a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 2028,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debe ser inter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del gobierno de la Junta de Andaluc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prestar atenci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 esta demanda social, siendo sensibles ante la preocupaci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surgida entre la comunidad educativa.</w:t>
      </w: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ab/>
        <w:t>Por ello se aprob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una planificaci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extraordinaria para el periodo 2016-2022, adelantando as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al plazo-objetivo establecido, y en el 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mbito de las infraestructuras educativa que corresponde a la Consejer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Educaci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que ser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ejecutada por la Agencia P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 Andaluza de Educaci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competente en la gesti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las infraestructuras y servicios educativos en la Comunidad Aut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noma.</w:t>
      </w:r>
    </w:p>
    <w:p>
      <w:pPr>
        <w:pStyle w:val="Body Text"/>
        <w:spacing w:after="0"/>
        <w:jc w:val="right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Times New Roman" w:hAnsi="Times New Roman" w:hint="default"/>
          <w:b w:val="1"/>
          <w:bCs w:val="1"/>
          <w:caps w:val="0"/>
          <w:smallCaps w:val="0"/>
          <w:outline w:val="0"/>
          <w:color w:val="000000"/>
          <w:spacing w:val="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gina 2/3</w:t>
      </w:r>
    </w:p>
    <w:p>
      <w:pPr>
        <w:pStyle w:val="Body Text"/>
        <w:spacing w:after="0"/>
        <w:rPr>
          <w:rStyle w:val="Ninguno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su virtud, a propuesta de la Consejera de Educaci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y conforme a lo previsto en el art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 27.23 de la Ley 6/2006, de 24 de octubre, del Gobierno de la Comunidad Aut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noma de Andaluc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a, previa deliberaci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Consejo de Gobierno en su reuni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d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5 de julio de 2016, se acord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su planificaci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actuaci</w:t>
      </w:r>
      <w:r>
        <w:rPr>
          <w:rStyle w:val="Ninguno"/>
          <w:rFonts w:ascii="Times New Roman" w:hAnsi="Times New Roman" w:hint="default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hAnsi="Times New Roman"/>
          <w:caps w:val="0"/>
          <w:smallCaps w:val="0"/>
          <w:outline w:val="0"/>
          <w:color w:val="000000"/>
          <w:spacing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plazo comprendido entre la fecha en la que produce efectos el presente Acuerdo y el 31 de diciembre de 2022.</w:t>
      </w:r>
    </w:p>
    <w:p>
      <w:pPr>
        <w:pStyle w:val="Body Text"/>
        <w:spacing w:after="0"/>
        <w:rPr>
          <w:rStyle w:val="Ninguno"/>
        </w:rPr>
      </w:pPr>
    </w:p>
    <w:p>
      <w:pPr>
        <w:pStyle w:val="Cuerpo"/>
        <w:spacing w:after="120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 por ello que desde Los Barrios 100x100 sometemos al pleno del Ayuntamiento de Los Barrios las siguientes propuestas, para que, de forma un</w:t>
      </w:r>
      <w:r>
        <w:rPr>
          <w:rStyle w:val="Ninguno"/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nime, con las aportaciones del resto de los grupos que corresponda, se adopten los siguientes acuerdos:</w:t>
      </w:r>
    </w:p>
    <w:p>
      <w:pPr>
        <w:pStyle w:val="Cuerpo"/>
        <w:spacing w:after="120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 w:line="276" w:lineRule="auto"/>
        <w:jc w:val="center"/>
        <w:outlineLvl w:val="0"/>
        <w:rPr>
          <w:rStyle w:val="Ninguno"/>
          <w:rFonts w:ascii="Andalus" w:cs="Andalus" w:hAnsi="Andalus" w:eastAsia="Andalu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PROPUESTA DE ACUERDO</w:t>
      </w:r>
    </w:p>
    <w:p>
      <w:pPr>
        <w:pStyle w:val="Cuerpo"/>
        <w:spacing w:after="120" w:line="276" w:lineRule="auto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 w:line="276" w:lineRule="auto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Primero.- Exigir a la Junta de Andaluc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a, en el 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mbito de sus competencias, a la retirada de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mianto en las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estructuras del colegio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San Isidro Labrador, tal y como establece el Acuerdo de 5 de Julio de 2016.</w:t>
      </w:r>
    </w:p>
    <w:p>
      <w:pPr>
        <w:pStyle w:val="Cuerpo"/>
        <w:spacing w:after="120" w:line="276" w:lineRule="auto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 w:line="276" w:lineRule="auto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Segundo.- Solicitar a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Gobierno de Espa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y a la Junta de Andaluc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un nuevo esfuerzo para paliar las nuevas problem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ticas que sufren los centros educativos tras su deterioro durante el paso de los a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os.</w:t>
      </w:r>
    </w:p>
    <w:p>
      <w:pPr>
        <w:pStyle w:val="Cuerpo"/>
        <w:spacing w:after="120" w:line="276" w:lineRule="auto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 w:line="276" w:lineRule="auto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280" w:after="280" w:line="276" w:lineRule="auto"/>
        <w:outlineLvl w:val="0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Los Barrios a 25 de Octubre de 2022</w:t>
      </w:r>
    </w:p>
    <w:p>
      <w:pPr>
        <w:pStyle w:val="Cuerpo"/>
        <w:spacing w:before="280" w:after="280" w:line="276" w:lineRule="auto"/>
        <w:outlineLvl w:val="0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Fdo. Sara Lobato Herrera</w:t>
      </w:r>
    </w:p>
    <w:p>
      <w:pPr>
        <w:pStyle w:val="Cuerpo"/>
        <w:spacing w:before="280" w:after="280" w:line="276" w:lineRule="auto"/>
        <w:outlineLvl w:val="0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280" w:after="280" w:line="276" w:lineRule="auto"/>
        <w:outlineLvl w:val="0"/>
        <w:rPr>
          <w:rStyle w:val="Ning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Sr. ALCALDE PRESIDENTE DEL EXCMO. AYUNTAMIENTO DE LOS BARRIOS</w:t>
      </w:r>
    </w:p>
    <w:p>
      <w:pPr>
        <w:pStyle w:val="Cuerpo"/>
        <w:spacing w:after="120" w:line="276" w:lineRule="auto"/>
        <w:jc w:val="right"/>
        <w:outlineLvl w:val="0"/>
      </w:pP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gina 3/3</w:t>
      </w:r>
    </w:p>
    <w:sectPr>
      <w:headerReference w:type="default" r:id="rId4"/>
      <w:footerReference w:type="default" r:id="rId5"/>
      <w:pgSz w:w="11900" w:h="16840" w:orient="portrait"/>
      <w:pgMar w:top="3115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Andalus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100X100 PIE"/>
      <w:tabs>
        <w:tab w:val="right" w:pos="8478"/>
        <w:tab w:val="clear" w:pos="8504"/>
      </w:tabs>
      <w:jc w:val="both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598170</wp:posOffset>
          </wp:positionV>
          <wp:extent cx="5396230" cy="726441"/>
          <wp:effectExtent l="0" t="0" r="0" b="0"/>
          <wp:wrapNone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726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9878060</wp:posOffset>
          </wp:positionV>
          <wp:extent cx="7560310" cy="716281"/>
          <wp:effectExtent l="0" t="0" r="0" b="0"/>
          <wp:wrapNone/>
          <wp:docPr id="1073741826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" descr="Image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16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100X100 PIE">
    <w:name w:val="100X100 PIE"/>
    <w:next w:val="100X100 PIE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18"/>
      <w:szCs w:val="18"/>
      <w:u w:val="none" w:color="7f7f7f"/>
      <w:shd w:val="nil" w:color="auto" w:fill="auto"/>
      <w:vertAlign w:val="baseline"/>
      <w:lang w:val="es-ES_tradnl"/>
      <w14:textFill>
        <w14:solidFill>
          <w14:srgbClr w14:val="7F7F7F"/>
        </w14:solidFill>
      </w14:textFill>
    </w:rPr>
  </w:style>
  <w:style w:type="paragraph" w:styleId="100X100 SUBTITULO">
    <w:name w:val="100X100 SUBTITULO"/>
    <w:next w:val="100X100 SUBTI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76" w:lineRule="auto"/>
      <w:ind w:left="0" w:right="0" w:firstLine="0"/>
      <w:jc w:val="both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